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48" w:rsidRPr="00B84D48" w:rsidRDefault="00B84D48" w:rsidP="00B84D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D48">
        <w:rPr>
          <w:rFonts w:ascii="Times New Roman" w:hAnsi="Times New Roman" w:cs="Times New Roman"/>
          <w:b/>
          <w:sz w:val="28"/>
          <w:szCs w:val="28"/>
        </w:rPr>
        <w:t xml:space="preserve">Технические характеристики ИБП </w:t>
      </w:r>
      <w:proofErr w:type="spellStart"/>
      <w:r w:rsidRPr="00B84D48">
        <w:rPr>
          <w:rFonts w:ascii="Times New Roman" w:hAnsi="Times New Roman" w:cs="Times New Roman"/>
          <w:b/>
          <w:sz w:val="28"/>
          <w:szCs w:val="28"/>
          <w:lang w:val="en-US"/>
        </w:rPr>
        <w:t>Irbis</w:t>
      </w:r>
      <w:proofErr w:type="spellEnd"/>
      <w:r w:rsidRPr="00B84D48">
        <w:rPr>
          <w:rFonts w:ascii="Times New Roman" w:hAnsi="Times New Roman" w:cs="Times New Roman"/>
          <w:b/>
          <w:sz w:val="28"/>
          <w:szCs w:val="28"/>
        </w:rPr>
        <w:t>-Smart-UPS-5000-230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Параметры входа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Входная частота, 50/60 ± 3 Гц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D48">
        <w:rPr>
          <w:rFonts w:ascii="Times New Roman" w:hAnsi="Times New Roman" w:cs="Times New Roman"/>
          <w:sz w:val="24"/>
          <w:szCs w:val="24"/>
        </w:rPr>
        <w:t>Автоопределение</w:t>
      </w:r>
      <w:proofErr w:type="spellEnd"/>
      <w:r w:rsidRPr="00B84D48">
        <w:rPr>
          <w:rFonts w:ascii="Times New Roman" w:hAnsi="Times New Roman" w:cs="Times New Roman"/>
          <w:sz w:val="24"/>
          <w:szCs w:val="24"/>
        </w:rPr>
        <w:t xml:space="preserve"> входной частоты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Регулируемый диапазон входного напряжения при ра</w:t>
      </w:r>
      <w:bookmarkStart w:id="0" w:name="_GoBack"/>
      <w:bookmarkEnd w:id="0"/>
      <w:r w:rsidRPr="00B84D48">
        <w:rPr>
          <w:rFonts w:ascii="Times New Roman" w:hAnsi="Times New Roman" w:cs="Times New Roman"/>
          <w:sz w:val="24"/>
          <w:szCs w:val="24"/>
        </w:rPr>
        <w:t>боте от сети 151 – 302 В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Диапазон входного напряжения при работе от сети, 160–286 В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Эффективность под полной нагрузкой, 96 %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Выходные параметры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Топология: Линейно-интерактивный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 xml:space="preserve">Максимальная задаваемая мощность 4,0 кВт / 5,0 </w:t>
      </w:r>
      <w:proofErr w:type="spellStart"/>
      <w:r w:rsidRPr="00B84D48">
        <w:rPr>
          <w:rFonts w:ascii="Times New Roman" w:hAnsi="Times New Roman" w:cs="Times New Roman"/>
          <w:sz w:val="24"/>
          <w:szCs w:val="24"/>
        </w:rPr>
        <w:t>кВА</w:t>
      </w:r>
      <w:proofErr w:type="spellEnd"/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 xml:space="preserve">Уровень выходного напряжения </w:t>
      </w:r>
      <w:proofErr w:type="gramStart"/>
      <w:r w:rsidRPr="00B84D48">
        <w:rPr>
          <w:rFonts w:ascii="Times New Roman" w:hAnsi="Times New Roman" w:cs="Times New Roman"/>
          <w:sz w:val="24"/>
          <w:szCs w:val="24"/>
        </w:rPr>
        <w:t>220 :</w:t>
      </w:r>
      <w:proofErr w:type="gramEnd"/>
      <w:r w:rsidRPr="00B84D48">
        <w:rPr>
          <w:rFonts w:ascii="Times New Roman" w:hAnsi="Times New Roman" w:cs="Times New Roman"/>
          <w:sz w:val="24"/>
          <w:szCs w:val="24"/>
        </w:rPr>
        <w:t xml:space="preserve"> 230 или 240 В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Эффективность под полной нагрузкой, 96%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 xml:space="preserve">Искажения формы выходного напряжения при полной </w:t>
      </w:r>
      <w:proofErr w:type="gramStart"/>
      <w:r w:rsidRPr="00B84D48">
        <w:rPr>
          <w:rFonts w:ascii="Times New Roman" w:hAnsi="Times New Roman" w:cs="Times New Roman"/>
          <w:sz w:val="24"/>
          <w:szCs w:val="24"/>
        </w:rPr>
        <w:t>нагрузке,  не</w:t>
      </w:r>
      <w:proofErr w:type="gramEnd"/>
      <w:r w:rsidRPr="00B84D48">
        <w:rPr>
          <w:rFonts w:ascii="Times New Roman" w:hAnsi="Times New Roman" w:cs="Times New Roman"/>
          <w:sz w:val="24"/>
          <w:szCs w:val="24"/>
        </w:rPr>
        <w:t xml:space="preserve"> более 5 %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Выходная частота (синхронизированная с электросетью для номинала в 50 Гц) 47 - 53Гц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Пик-фактор нагрузки 3:1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форма напряжения: синусоидальный сигнал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 xml:space="preserve">Время переключения типовое 2мс, максимальное 4 </w:t>
      </w:r>
      <w:proofErr w:type="spellStart"/>
      <w:r w:rsidRPr="00B84D48">
        <w:rPr>
          <w:rFonts w:ascii="Times New Roman" w:hAnsi="Times New Roman" w:cs="Times New Roman"/>
          <w:sz w:val="24"/>
          <w:szCs w:val="24"/>
        </w:rPr>
        <w:t>мс</w:t>
      </w:r>
      <w:proofErr w:type="spellEnd"/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Выходные разъемы IEC 320 C19 - 2 шт.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Выходные разъемы IEC 320 C13 - 8 шт.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Параметры АКБ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Свинцово-кислотные батареи с регулирующими клапанами (VRLA)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Типовое время перезарядки 3 ч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Сменная батарея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Срок службы батареи 3-5 лет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Интерфейсные порты DB-9 RS-232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 xml:space="preserve">Светодиодный дисплей с индикаторами </w:t>
      </w:r>
      <w:proofErr w:type="spellStart"/>
      <w:r w:rsidRPr="00B84D4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8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D48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B84D48">
        <w:rPr>
          <w:rFonts w:ascii="Times New Roman" w:hAnsi="Times New Roman" w:cs="Times New Roman"/>
          <w:sz w:val="24"/>
          <w:szCs w:val="24"/>
        </w:rPr>
        <w:t xml:space="preserve"> (работы от сети</w:t>
      </w:r>
      <w:proofErr w:type="gramStart"/>
      <w:r w:rsidRPr="00B84D48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B8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D4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8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D48">
        <w:rPr>
          <w:rFonts w:ascii="Times New Roman" w:hAnsi="Times New Roman" w:cs="Times New Roman"/>
          <w:sz w:val="24"/>
          <w:szCs w:val="24"/>
        </w:rPr>
        <w:t>battery</w:t>
      </w:r>
      <w:proofErr w:type="spellEnd"/>
      <w:r w:rsidRPr="00B84D48">
        <w:rPr>
          <w:rFonts w:ascii="Times New Roman" w:hAnsi="Times New Roman" w:cs="Times New Roman"/>
          <w:sz w:val="24"/>
          <w:szCs w:val="24"/>
        </w:rPr>
        <w:t xml:space="preserve"> (работы от батарей) : </w:t>
      </w:r>
      <w:proofErr w:type="spellStart"/>
      <w:r w:rsidRPr="00B84D48">
        <w:rPr>
          <w:rFonts w:ascii="Times New Roman" w:hAnsi="Times New Roman" w:cs="Times New Roman"/>
          <w:sz w:val="24"/>
          <w:szCs w:val="24"/>
        </w:rPr>
        <w:t>replace</w:t>
      </w:r>
      <w:proofErr w:type="spellEnd"/>
      <w:r w:rsidRPr="00B8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D48">
        <w:rPr>
          <w:rFonts w:ascii="Times New Roman" w:hAnsi="Times New Roman" w:cs="Times New Roman"/>
          <w:sz w:val="24"/>
          <w:szCs w:val="24"/>
        </w:rPr>
        <w:t>battery</w:t>
      </w:r>
      <w:proofErr w:type="spellEnd"/>
      <w:r w:rsidRPr="00B84D48">
        <w:rPr>
          <w:rFonts w:ascii="Times New Roman" w:hAnsi="Times New Roman" w:cs="Times New Roman"/>
          <w:sz w:val="24"/>
          <w:szCs w:val="24"/>
        </w:rPr>
        <w:t xml:space="preserve"> (необходимости замены батареи) и </w:t>
      </w:r>
      <w:proofErr w:type="spellStart"/>
      <w:r w:rsidRPr="00B84D48"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 w:rsidRPr="00B84D48">
        <w:rPr>
          <w:rFonts w:ascii="Times New Roman" w:hAnsi="Times New Roman" w:cs="Times New Roman"/>
          <w:sz w:val="24"/>
          <w:szCs w:val="24"/>
        </w:rPr>
        <w:t xml:space="preserve"> (перегрузки)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Звуковое и визуальное оповещение: настраиваемые задержки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Возможность установки в стойку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Защита от перегрузки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Защита от коротких замыканий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lastRenderedPageBreak/>
        <w:t>Защита нагрузок от импульсных перенапряжений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Размеры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Ширина 483 мм</w:t>
      </w:r>
    </w:p>
    <w:p w:rsidR="00EB60BE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Глубина 660 мм</w:t>
      </w:r>
    </w:p>
    <w:p w:rsidR="000D4A17" w:rsidRPr="00B84D48" w:rsidRDefault="00EB60BE" w:rsidP="00EB60BE">
      <w:pPr>
        <w:rPr>
          <w:rFonts w:ascii="Times New Roman" w:hAnsi="Times New Roman" w:cs="Times New Roman"/>
          <w:sz w:val="24"/>
          <w:szCs w:val="24"/>
        </w:rPr>
      </w:pPr>
      <w:r w:rsidRPr="00B84D48">
        <w:rPr>
          <w:rFonts w:ascii="Times New Roman" w:hAnsi="Times New Roman" w:cs="Times New Roman"/>
          <w:sz w:val="24"/>
          <w:szCs w:val="24"/>
        </w:rPr>
        <w:t>Высота 222мм</w:t>
      </w:r>
    </w:p>
    <w:sectPr w:rsidR="000D4A17" w:rsidRPr="00B8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BE"/>
    <w:rsid w:val="000D4A17"/>
    <w:rsid w:val="00B84D48"/>
    <w:rsid w:val="00EB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D1CD"/>
  <w15:chartTrackingRefBased/>
  <w15:docId w15:val="{5783C492-93E4-4099-9B2D-9A564016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BF39-460B-485E-AEB4-93149577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Кондраков Максим Сергеевич</dc:creator>
  <cp:keywords/>
  <dc:description/>
  <cp:lastModifiedBy>Брумм А.В.</cp:lastModifiedBy>
  <cp:revision>2</cp:revision>
  <dcterms:created xsi:type="dcterms:W3CDTF">2021-06-11T07:11:00Z</dcterms:created>
  <dcterms:modified xsi:type="dcterms:W3CDTF">2021-06-11T07:11:00Z</dcterms:modified>
</cp:coreProperties>
</file>